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676" w:rsidRPr="00BF7211" w:rsidRDefault="00834676" w:rsidP="00834676">
      <w:pPr>
        <w:tabs>
          <w:tab w:val="left" w:pos="44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7211">
        <w:rPr>
          <w:rFonts w:ascii="Times New Roman" w:eastAsia="Times New Roman" w:hAnsi="Times New Roman" w:cs="Times New Roman"/>
          <w:b/>
          <w:sz w:val="24"/>
          <w:szCs w:val="24"/>
        </w:rPr>
        <w:t>МКУ «КОМИТЕТ ПО ОБРАЗОВАНИЮ Г.УЛАН-УДЭ»</w:t>
      </w:r>
    </w:p>
    <w:p w:rsidR="00834676" w:rsidRPr="00BF7211" w:rsidRDefault="00834676" w:rsidP="00834676">
      <w:pPr>
        <w:pBdr>
          <w:bottom w:val="single" w:sz="12" w:space="1" w:color="auto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7211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БЮДЖЕТНОЕ ДОШКОЛЬНОЕ ОБРАЗОВАТЕЛЬНОЕ УЧРЕЖДЕНИЕ ДЕТСКИЙ САД № 96 «КАЛИНКА» Г.УЛАН-УДЭ </w:t>
      </w:r>
    </w:p>
    <w:p w:rsidR="00834676" w:rsidRPr="00BF7211" w:rsidRDefault="00834676" w:rsidP="00834676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F7211">
        <w:rPr>
          <w:rFonts w:ascii="Times New Roman" w:eastAsia="Times New Roman" w:hAnsi="Times New Roman" w:cs="Times New Roman"/>
          <w:b/>
          <w:sz w:val="20"/>
          <w:szCs w:val="20"/>
        </w:rPr>
        <w:t>670042, Республика Бурятия г. Улан-Удэ, Проспект Строителей, 32а</w:t>
      </w:r>
    </w:p>
    <w:p w:rsidR="00834676" w:rsidRPr="00E73868" w:rsidRDefault="00834676" w:rsidP="00834676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F7211">
        <w:rPr>
          <w:rFonts w:ascii="Times New Roman" w:eastAsia="Times New Roman" w:hAnsi="Times New Roman" w:cs="Times New Roman"/>
          <w:b/>
          <w:sz w:val="20"/>
          <w:szCs w:val="20"/>
        </w:rPr>
        <w:t xml:space="preserve"> тел./факс 8 (3012) 46-96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-30, 8 (3012) 46-96-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20  e-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mail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Pr="00E73868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ds</w:t>
      </w:r>
      <w:r w:rsidRPr="00E73868">
        <w:rPr>
          <w:rFonts w:ascii="Times New Roman" w:eastAsia="Times New Roman" w:hAnsi="Times New Roman" w:cs="Times New Roman"/>
          <w:b/>
          <w:sz w:val="20"/>
          <w:szCs w:val="20"/>
        </w:rPr>
        <w:t>_96@</w:t>
      </w:r>
      <w:proofErr w:type="spellStart"/>
      <w:r w:rsidRPr="00E73868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govrb</w:t>
      </w:r>
      <w:proofErr w:type="spellEnd"/>
      <w:r w:rsidRPr="00E73868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proofErr w:type="spellStart"/>
      <w:r w:rsidRPr="00E73868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ru</w:t>
      </w:r>
      <w:proofErr w:type="spellEnd"/>
    </w:p>
    <w:p w:rsidR="00834676" w:rsidRDefault="00834676" w:rsidP="0083467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4676" w:rsidRDefault="00834676" w:rsidP="0083467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4676" w:rsidRDefault="00834676" w:rsidP="0083467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34676" w:rsidRPr="00834676" w:rsidRDefault="00834676" w:rsidP="00834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676">
        <w:rPr>
          <w:rFonts w:ascii="Times New Roman" w:hAnsi="Times New Roman" w:cs="Times New Roman"/>
          <w:b/>
          <w:bCs/>
          <w:sz w:val="28"/>
          <w:szCs w:val="28"/>
        </w:rPr>
        <w:t>АНАЛИТИЧЕСКАЯ СПРАВКА</w:t>
      </w:r>
      <w:r w:rsidRPr="00834676">
        <w:rPr>
          <w:rFonts w:ascii="Times New Roman" w:hAnsi="Times New Roman" w:cs="Times New Roman"/>
          <w:sz w:val="28"/>
          <w:szCs w:val="28"/>
        </w:rPr>
        <w:br/>
      </w:r>
      <w:r w:rsidRPr="00834676">
        <w:rPr>
          <w:rFonts w:ascii="Times New Roman" w:hAnsi="Times New Roman" w:cs="Times New Roman"/>
          <w:b/>
          <w:bCs/>
          <w:sz w:val="28"/>
          <w:szCs w:val="28"/>
        </w:rPr>
        <w:t xml:space="preserve">по результатам </w:t>
      </w:r>
      <w:r w:rsidR="00E659D6">
        <w:rPr>
          <w:rFonts w:ascii="Times New Roman" w:hAnsi="Times New Roman" w:cs="Times New Roman"/>
          <w:b/>
          <w:bCs/>
          <w:sz w:val="28"/>
          <w:szCs w:val="28"/>
        </w:rPr>
        <w:t xml:space="preserve">промежуточной </w:t>
      </w:r>
      <w:r w:rsidRPr="00834676">
        <w:rPr>
          <w:rFonts w:ascii="Times New Roman" w:hAnsi="Times New Roman" w:cs="Times New Roman"/>
          <w:b/>
          <w:bCs/>
          <w:sz w:val="28"/>
          <w:szCs w:val="28"/>
        </w:rPr>
        <w:t xml:space="preserve"> педагогической диагностики</w:t>
      </w:r>
      <w:r w:rsidR="00740F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4676">
        <w:rPr>
          <w:rFonts w:ascii="Times New Roman" w:hAnsi="Times New Roman" w:cs="Times New Roman"/>
          <w:sz w:val="28"/>
          <w:szCs w:val="28"/>
        </w:rPr>
        <w:br/>
      </w:r>
      <w:r w:rsidRPr="00834676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="00E659D6">
        <w:rPr>
          <w:rFonts w:ascii="Times New Roman" w:hAnsi="Times New Roman" w:cs="Times New Roman"/>
          <w:b/>
          <w:bCs/>
          <w:sz w:val="28"/>
          <w:szCs w:val="28"/>
        </w:rPr>
        <w:t>06.12.2026</w:t>
      </w:r>
      <w:r w:rsidRPr="00834676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:rsidR="00834676" w:rsidRPr="00834676" w:rsidRDefault="00834676" w:rsidP="008346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59D6">
        <w:rPr>
          <w:rFonts w:ascii="Times New Roman" w:hAnsi="Times New Roman" w:cs="Times New Roman"/>
          <w:b/>
          <w:sz w:val="28"/>
          <w:szCs w:val="28"/>
        </w:rPr>
        <w:t>1. ОБЩИЕ СВЕДЕНИЯ И ОСНОВАНИЕ ДЛЯ ПРОВЕДЕНИЯ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659D6">
        <w:rPr>
          <w:rFonts w:ascii="Times New Roman" w:hAnsi="Times New Roman" w:cs="Times New Roman"/>
          <w:sz w:val="28"/>
          <w:szCs w:val="28"/>
          <w:u w:val="single"/>
        </w:rPr>
        <w:t>Основание: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Приказы по корпусам о проведении промежуточной педагогической диагнос</w:t>
      </w:r>
      <w:r>
        <w:rPr>
          <w:rFonts w:ascii="Times New Roman" w:hAnsi="Times New Roman" w:cs="Times New Roman"/>
          <w:sz w:val="28"/>
          <w:szCs w:val="28"/>
        </w:rPr>
        <w:t>тики, Внутренний план контроля.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659D6">
        <w:rPr>
          <w:rFonts w:ascii="Times New Roman" w:hAnsi="Times New Roman" w:cs="Times New Roman"/>
          <w:sz w:val="28"/>
          <w:szCs w:val="28"/>
          <w:u w:val="single"/>
        </w:rPr>
        <w:t>Срок проведения: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12.01.2</w:t>
      </w:r>
      <w:r>
        <w:rPr>
          <w:rFonts w:ascii="Times New Roman" w:hAnsi="Times New Roman" w:cs="Times New Roman"/>
          <w:sz w:val="28"/>
          <w:szCs w:val="28"/>
        </w:rPr>
        <w:t>026 – 05.02.2026 (по корпусам).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659D6">
        <w:rPr>
          <w:rFonts w:ascii="Times New Roman" w:hAnsi="Times New Roman" w:cs="Times New Roman"/>
          <w:sz w:val="28"/>
          <w:szCs w:val="28"/>
          <w:u w:val="single"/>
        </w:rPr>
        <w:t>Цель: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Анализ актуального уровня развития воспитанников на середину учебного года для выявления общих тенденций, проблемных зон и планирования коррекционно-ра</w:t>
      </w:r>
      <w:r>
        <w:rPr>
          <w:rFonts w:ascii="Times New Roman" w:hAnsi="Times New Roman" w:cs="Times New Roman"/>
          <w:sz w:val="28"/>
          <w:szCs w:val="28"/>
        </w:rPr>
        <w:t>звивающей работы на уровне ДОУ.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Контингент: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В диагностике приняли участие воспитанники подготови</w:t>
      </w:r>
      <w:r>
        <w:rPr>
          <w:rFonts w:ascii="Times New Roman" w:hAnsi="Times New Roman" w:cs="Times New Roman"/>
          <w:sz w:val="28"/>
          <w:szCs w:val="28"/>
        </w:rPr>
        <w:t>тельных групп четырёх корпусов.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659D6">
        <w:rPr>
          <w:rFonts w:ascii="Times New Roman" w:hAnsi="Times New Roman" w:cs="Times New Roman"/>
          <w:i/>
          <w:sz w:val="28"/>
          <w:szCs w:val="28"/>
          <w:u w:val="single"/>
        </w:rPr>
        <w:t>Сводные данные по контингенту:</w:t>
      </w:r>
    </w:p>
    <w:p w:rsid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71"/>
        <w:gridCol w:w="2410"/>
        <w:gridCol w:w="3327"/>
        <w:gridCol w:w="2337"/>
      </w:tblGrid>
      <w:tr w:rsidR="00E659D6" w:rsidRPr="00E659D6" w:rsidTr="00E659D6">
        <w:tc>
          <w:tcPr>
            <w:tcW w:w="1271" w:type="dxa"/>
            <w:tcBorders>
              <w:top w:val="nil"/>
            </w:tcBorders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Корпус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Количество групп</w:t>
            </w:r>
          </w:p>
        </w:tc>
        <w:tc>
          <w:tcPr>
            <w:tcW w:w="3327" w:type="dxa"/>
            <w:tcBorders>
              <w:top w:val="nil"/>
            </w:tcBorders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Общее количество детей</w:t>
            </w:r>
          </w:p>
        </w:tc>
        <w:tc>
          <w:tcPr>
            <w:tcW w:w="2337" w:type="dxa"/>
            <w:tcBorders>
              <w:top w:val="nil"/>
            </w:tcBorders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Количество детей, прошедших диагностику</w:t>
            </w:r>
          </w:p>
        </w:tc>
      </w:tr>
      <w:tr w:rsidR="00E659D6" w:rsidRPr="00E659D6" w:rsidTr="00E659D6">
        <w:tc>
          <w:tcPr>
            <w:tcW w:w="1271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</w:t>
            </w:r>
          </w:p>
        </w:tc>
        <w:tc>
          <w:tcPr>
            <w:tcW w:w="332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78</w:t>
            </w:r>
          </w:p>
        </w:tc>
        <w:tc>
          <w:tcPr>
            <w:tcW w:w="233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53</w:t>
            </w:r>
          </w:p>
        </w:tc>
      </w:tr>
      <w:tr w:rsidR="00E659D6" w:rsidRPr="00E659D6" w:rsidTr="00E659D6">
        <w:tc>
          <w:tcPr>
            <w:tcW w:w="1271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</w:t>
            </w:r>
          </w:p>
        </w:tc>
        <w:tc>
          <w:tcPr>
            <w:tcW w:w="332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83</w:t>
            </w:r>
          </w:p>
        </w:tc>
        <w:tc>
          <w:tcPr>
            <w:tcW w:w="233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77</w:t>
            </w:r>
          </w:p>
        </w:tc>
      </w:tr>
      <w:tr w:rsidR="00E659D6" w:rsidRPr="00E659D6" w:rsidTr="00E659D6">
        <w:tc>
          <w:tcPr>
            <w:tcW w:w="1271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</w:t>
            </w:r>
          </w:p>
        </w:tc>
        <w:tc>
          <w:tcPr>
            <w:tcW w:w="332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65</w:t>
            </w:r>
          </w:p>
        </w:tc>
        <w:tc>
          <w:tcPr>
            <w:tcW w:w="233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65</w:t>
            </w:r>
          </w:p>
        </w:tc>
      </w:tr>
    </w:tbl>
    <w:p w:rsid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59D6">
        <w:rPr>
          <w:rFonts w:ascii="Times New Roman" w:hAnsi="Times New Roman" w:cs="Times New Roman"/>
          <w:b/>
          <w:sz w:val="28"/>
          <w:szCs w:val="28"/>
        </w:rPr>
        <w:t>2. СВОДНЫЕ РЕЗУЛЬТАТЫ МОНИТОРИНГА ПО ОБРАЗОВАТЕЛЬНЫМ ОБЛАСТЯМ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659D6">
        <w:rPr>
          <w:rFonts w:ascii="Times New Roman" w:hAnsi="Times New Roman" w:cs="Times New Roman"/>
          <w:sz w:val="28"/>
          <w:szCs w:val="28"/>
          <w:u w:val="single"/>
        </w:rPr>
        <w:t>Средний процент детей по ДОУ, показавших высокий, средний и низкий уровень развития: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65"/>
        <w:gridCol w:w="2326"/>
        <w:gridCol w:w="2327"/>
        <w:gridCol w:w="2327"/>
      </w:tblGrid>
      <w:tr w:rsidR="00E659D6" w:rsidRPr="00E659D6" w:rsidTr="00E659D6">
        <w:tc>
          <w:tcPr>
            <w:tcW w:w="2365" w:type="dxa"/>
            <w:tcBorders>
              <w:top w:val="nil"/>
            </w:tcBorders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Образовательная область</w:t>
            </w:r>
          </w:p>
        </w:tc>
        <w:tc>
          <w:tcPr>
            <w:tcW w:w="2326" w:type="dxa"/>
            <w:tcBorders>
              <w:top w:val="nil"/>
            </w:tcBorders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Высокий уровень</w:t>
            </w:r>
          </w:p>
        </w:tc>
        <w:tc>
          <w:tcPr>
            <w:tcW w:w="2327" w:type="dxa"/>
            <w:tcBorders>
              <w:top w:val="nil"/>
            </w:tcBorders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Средний уровень</w:t>
            </w:r>
          </w:p>
        </w:tc>
        <w:tc>
          <w:tcPr>
            <w:tcW w:w="2327" w:type="dxa"/>
            <w:tcBorders>
              <w:top w:val="nil"/>
            </w:tcBorders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Низкий уровень</w:t>
            </w:r>
          </w:p>
        </w:tc>
      </w:tr>
      <w:tr w:rsidR="00E659D6" w:rsidRPr="00E659D6" w:rsidTr="00E659D6">
        <w:tc>
          <w:tcPr>
            <w:tcW w:w="2365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lastRenderedPageBreak/>
              <w:t>Физическое развитие</w:t>
            </w:r>
          </w:p>
        </w:tc>
        <w:tc>
          <w:tcPr>
            <w:tcW w:w="2326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68,0%</w:t>
            </w:r>
          </w:p>
        </w:tc>
        <w:tc>
          <w:tcPr>
            <w:tcW w:w="232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27,5%</w:t>
            </w:r>
          </w:p>
        </w:tc>
        <w:tc>
          <w:tcPr>
            <w:tcW w:w="232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4,5%</w:t>
            </w:r>
          </w:p>
        </w:tc>
      </w:tr>
      <w:tr w:rsidR="00E659D6" w:rsidRPr="00E659D6" w:rsidTr="00E659D6">
        <w:tc>
          <w:tcPr>
            <w:tcW w:w="2365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2326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36,8%</w:t>
            </w:r>
          </w:p>
        </w:tc>
        <w:tc>
          <w:tcPr>
            <w:tcW w:w="232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58,2%</w:t>
            </w:r>
          </w:p>
        </w:tc>
        <w:tc>
          <w:tcPr>
            <w:tcW w:w="232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5,0%</w:t>
            </w:r>
          </w:p>
        </w:tc>
      </w:tr>
      <w:tr w:rsidR="00E659D6" w:rsidRPr="00E659D6" w:rsidTr="00E659D6">
        <w:tc>
          <w:tcPr>
            <w:tcW w:w="2365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Речевое развитие</w:t>
            </w:r>
          </w:p>
        </w:tc>
        <w:tc>
          <w:tcPr>
            <w:tcW w:w="2326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43,2%</w:t>
            </w:r>
          </w:p>
        </w:tc>
        <w:tc>
          <w:tcPr>
            <w:tcW w:w="232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52,7%</w:t>
            </w:r>
          </w:p>
        </w:tc>
        <w:tc>
          <w:tcPr>
            <w:tcW w:w="232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4,1%</w:t>
            </w:r>
          </w:p>
        </w:tc>
      </w:tr>
      <w:tr w:rsidR="00E659D6" w:rsidRPr="00E659D6" w:rsidTr="00E659D6">
        <w:tc>
          <w:tcPr>
            <w:tcW w:w="2365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2326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55,8%</w:t>
            </w:r>
          </w:p>
        </w:tc>
        <w:tc>
          <w:tcPr>
            <w:tcW w:w="232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41,4%</w:t>
            </w:r>
          </w:p>
        </w:tc>
        <w:tc>
          <w:tcPr>
            <w:tcW w:w="232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2,8%</w:t>
            </w:r>
          </w:p>
        </w:tc>
      </w:tr>
      <w:tr w:rsidR="00E659D6" w:rsidRPr="00E659D6" w:rsidTr="00E659D6">
        <w:tc>
          <w:tcPr>
            <w:tcW w:w="2365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2326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38,3%</w:t>
            </w:r>
          </w:p>
        </w:tc>
        <w:tc>
          <w:tcPr>
            <w:tcW w:w="232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58,7%</w:t>
            </w:r>
          </w:p>
        </w:tc>
        <w:tc>
          <w:tcPr>
            <w:tcW w:w="232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t>3,0%</w:t>
            </w:r>
          </w:p>
        </w:tc>
      </w:tr>
      <w:tr w:rsidR="00E659D6" w:rsidRPr="00E659D6" w:rsidTr="00E659D6">
        <w:tc>
          <w:tcPr>
            <w:tcW w:w="2365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Style w:val="a6"/>
                <w:rFonts w:ascii="Times New Roman" w:hAnsi="Times New Roman" w:cs="Times New Roman"/>
                <w:color w:val="0F1115"/>
                <w:sz w:val="28"/>
                <w:szCs w:val="28"/>
              </w:rPr>
              <w:t>Итоговый показатель по ДОУ</w:t>
            </w:r>
          </w:p>
        </w:tc>
        <w:tc>
          <w:tcPr>
            <w:tcW w:w="2326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Style w:val="a6"/>
                <w:rFonts w:ascii="Times New Roman" w:hAnsi="Times New Roman" w:cs="Times New Roman"/>
                <w:color w:val="0F1115"/>
                <w:sz w:val="28"/>
                <w:szCs w:val="28"/>
              </w:rPr>
              <w:t>48,4%</w:t>
            </w:r>
          </w:p>
        </w:tc>
        <w:tc>
          <w:tcPr>
            <w:tcW w:w="232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Style w:val="a6"/>
                <w:rFonts w:ascii="Times New Roman" w:hAnsi="Times New Roman" w:cs="Times New Roman"/>
                <w:color w:val="0F1115"/>
                <w:sz w:val="28"/>
                <w:szCs w:val="28"/>
              </w:rPr>
              <w:t>47,7%</w:t>
            </w:r>
          </w:p>
        </w:tc>
        <w:tc>
          <w:tcPr>
            <w:tcW w:w="2327" w:type="dxa"/>
            <w:shd w:val="clear" w:color="auto" w:fill="FFFFFF"/>
            <w:vAlign w:val="center"/>
          </w:tcPr>
          <w:p w:rsidR="00E659D6" w:rsidRPr="00E659D6" w:rsidRDefault="00E659D6" w:rsidP="00E659D6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8"/>
                <w:szCs w:val="28"/>
              </w:rPr>
            </w:pPr>
            <w:r w:rsidRPr="00E659D6">
              <w:rPr>
                <w:rStyle w:val="a6"/>
                <w:rFonts w:ascii="Times New Roman" w:hAnsi="Times New Roman" w:cs="Times New Roman"/>
                <w:color w:val="0F1115"/>
                <w:sz w:val="28"/>
                <w:szCs w:val="28"/>
              </w:rPr>
              <w:t>3,9%</w:t>
            </w:r>
          </w:p>
        </w:tc>
      </w:tr>
    </w:tbl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59D6">
        <w:rPr>
          <w:rFonts w:ascii="Times New Roman" w:hAnsi="Times New Roman" w:cs="Times New Roman"/>
          <w:b/>
          <w:sz w:val="28"/>
          <w:szCs w:val="28"/>
        </w:rPr>
        <w:t>3. АНАЛИЗ РЕЗУЛЬТАТОВ ПО ДОУ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659D6">
        <w:rPr>
          <w:rFonts w:ascii="Times New Roman" w:hAnsi="Times New Roman" w:cs="Times New Roman"/>
          <w:i/>
          <w:sz w:val="28"/>
          <w:szCs w:val="28"/>
          <w:u w:val="single"/>
        </w:rPr>
        <w:t>3.1. Положительная динамика и сильные стороны: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Образовательная ситуация в ДОУ на середину учебного года оценивается как стабильная и положительная. 96,1% воспитанников демонстрируют уровень развития, соответствующий возрастным возможностям (средний и высокий уровни).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Наиболее развитой областью является «Физическое развитие» (высокий уровень – 68%), что свидетельствует о системной работе инструкторов по физкультуре и воспитателей.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Высокие показатели в области «Социально-коммуникативное развитие» (свыше 55% высокого уровня) говорят о успешной адаптации детей, развитии коммуникативных навыков и умения сотрудничать.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Во всех корпусах отсутствует массовый низкий уровень, что подтверждает эффективность образовательного процесса.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659D6">
        <w:rPr>
          <w:rFonts w:ascii="Times New Roman" w:hAnsi="Times New Roman" w:cs="Times New Roman"/>
          <w:i/>
          <w:sz w:val="28"/>
          <w:szCs w:val="28"/>
          <w:u w:val="single"/>
        </w:rPr>
        <w:t>3.2. Проблемные зоны и области, требующие внимания: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Наиболее низкие показатели высокого уровня наблюдаются в областях «Речевое развитие» (43,2%) и «Художественно-эстетическое развитие» (38,3%).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В «Познавательном развитии» только 36,8% детей показали высокий уровень, что указывает на необходимость усиления работы по ФЭМП, конструированию и окружающему миру.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lastRenderedPageBreak/>
        <w:t>«Речевое развитие» остаётся зоной риска: у детей отмечаются трудности в построении развёрнутых высказываний, звукопроизношении, недостаточная связность речи.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Выявлена неравномерность результатов между корпусами, особенно в познавательном и речевом развитии, что требует обмена опытом и координации методической работы.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59D6">
        <w:rPr>
          <w:rFonts w:ascii="Times New Roman" w:hAnsi="Times New Roman" w:cs="Times New Roman"/>
          <w:b/>
          <w:sz w:val="28"/>
          <w:szCs w:val="28"/>
        </w:rPr>
        <w:t>4. ВЫВОДЫ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Образовательная ситуация в ДОУ на середину 2025–2026 учебного года характеризуется стабильностью, с преобладанием среднего и высокого уровней развития.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Выявлены единые проблемные зоны, требующие координации усилий всех специалистов: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Развитие связной речи и звуковой культуры.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Художественно-эстетическое развитие (технические навыки, творчество).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Познавательное развитие (ФЭМП, логические операции, окружающий мир).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Наблюдается неравномерность освоения программы между корпусами, что указывает на необходимость распространения лучших педагогических практик и усиления методического сопровождения.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59D6">
        <w:rPr>
          <w:rFonts w:ascii="Times New Roman" w:hAnsi="Times New Roman" w:cs="Times New Roman"/>
          <w:b/>
          <w:sz w:val="28"/>
          <w:szCs w:val="28"/>
        </w:rPr>
        <w:t>5. РЕКОМЕНДАЦИИ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659D6">
        <w:rPr>
          <w:rFonts w:ascii="Times New Roman" w:hAnsi="Times New Roman" w:cs="Times New Roman"/>
          <w:i/>
          <w:sz w:val="28"/>
          <w:szCs w:val="28"/>
          <w:u w:val="single"/>
        </w:rPr>
        <w:t>1. Методическая работа: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Организовать тематический семинар по теме: «Современные подходы к развитию речи и познавательной активности у старших дошкольников» до 15.03.2026.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Провести серию открытых просмотров в группах с наилучшими результатами по проблемным областям с последующим анализом и обменом опытом.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Разработать единые картотеки дидактических игр по развитию речи, художественно-эстетическому и познавательному развитию для всех корпусов.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659D6">
        <w:rPr>
          <w:rFonts w:ascii="Times New Roman" w:hAnsi="Times New Roman" w:cs="Times New Roman"/>
          <w:i/>
          <w:sz w:val="28"/>
          <w:szCs w:val="28"/>
          <w:u w:val="single"/>
        </w:rPr>
        <w:t>2. Работа с педагогами: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Всем воспитателям скорректировать календарно-тематическое планирование, усилив блоки по проблемным областям.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lastRenderedPageBreak/>
        <w:t>Включить в индивидуальные планы работы с детьми задания, направленные на преодоление выявленных дефицитов. Контроль со стороны старших воспитателей до 20.03.2026.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 xml:space="preserve">Активно использовать технологии работы в малых </w:t>
      </w:r>
      <w:proofErr w:type="spellStart"/>
      <w:r w:rsidRPr="00E659D6">
        <w:rPr>
          <w:rFonts w:ascii="Times New Roman" w:hAnsi="Times New Roman" w:cs="Times New Roman"/>
          <w:sz w:val="28"/>
          <w:szCs w:val="28"/>
        </w:rPr>
        <w:t>разноуровневых</w:t>
      </w:r>
      <w:proofErr w:type="spellEnd"/>
      <w:r w:rsidRPr="00E659D6">
        <w:rPr>
          <w:rFonts w:ascii="Times New Roman" w:hAnsi="Times New Roman" w:cs="Times New Roman"/>
          <w:sz w:val="28"/>
          <w:szCs w:val="28"/>
        </w:rPr>
        <w:t xml:space="preserve"> группах и проблемно-поисковые методы.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i/>
          <w:sz w:val="28"/>
          <w:szCs w:val="28"/>
          <w:u w:val="single"/>
        </w:rPr>
        <w:t>3. Работа с родителями</w:t>
      </w:r>
      <w:r w:rsidRPr="00E659D6">
        <w:rPr>
          <w:rFonts w:ascii="Times New Roman" w:hAnsi="Times New Roman" w:cs="Times New Roman"/>
          <w:sz w:val="28"/>
          <w:szCs w:val="28"/>
        </w:rPr>
        <w:t>: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Провести тематические родительские собрания с представлением общих результатов диагностики и конкретных рекомендаций по развитию детей дома.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Оформить в группах информационные стенды с материалами: «Игры для развития речи», «Развиваем логику», «Творчество дома», «Готовимся к школе».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659D6">
        <w:rPr>
          <w:rFonts w:ascii="Times New Roman" w:hAnsi="Times New Roman" w:cs="Times New Roman"/>
          <w:i/>
          <w:sz w:val="28"/>
          <w:szCs w:val="28"/>
          <w:u w:val="single"/>
        </w:rPr>
        <w:t>4. Контроль и мониторинг: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 xml:space="preserve">Усилить </w:t>
      </w:r>
      <w:proofErr w:type="spellStart"/>
      <w:r w:rsidRPr="00E659D6">
        <w:rPr>
          <w:rFonts w:ascii="Times New Roman" w:hAnsi="Times New Roman" w:cs="Times New Roman"/>
          <w:sz w:val="28"/>
          <w:szCs w:val="28"/>
        </w:rPr>
        <w:t>внутрикорпусной</w:t>
      </w:r>
      <w:proofErr w:type="spellEnd"/>
      <w:r w:rsidRPr="00E659D6">
        <w:rPr>
          <w:rFonts w:ascii="Times New Roman" w:hAnsi="Times New Roman" w:cs="Times New Roman"/>
          <w:sz w:val="28"/>
          <w:szCs w:val="28"/>
        </w:rPr>
        <w:t xml:space="preserve"> контроль за реализацией индивидуальных образовательных маршрутов.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Провести повторный срез по проблемным областям в апреле 2026 г. для оценки динамики.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Заместитель заведующего по УВР: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 xml:space="preserve">_____________________ / </w:t>
      </w:r>
      <w:proofErr w:type="spellStart"/>
      <w:r w:rsidRPr="00E659D6">
        <w:rPr>
          <w:rFonts w:ascii="Times New Roman" w:hAnsi="Times New Roman" w:cs="Times New Roman"/>
          <w:sz w:val="28"/>
          <w:szCs w:val="28"/>
        </w:rPr>
        <w:t>Покацкая</w:t>
      </w:r>
      <w:proofErr w:type="spellEnd"/>
      <w:r w:rsidRPr="00E659D6">
        <w:rPr>
          <w:rFonts w:ascii="Times New Roman" w:hAnsi="Times New Roman" w:cs="Times New Roman"/>
          <w:sz w:val="28"/>
          <w:szCs w:val="28"/>
        </w:rPr>
        <w:t xml:space="preserve"> Н.Ф. /</w:t>
      </w: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9D6" w:rsidRPr="00E659D6" w:rsidRDefault="00E659D6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D6">
        <w:rPr>
          <w:rFonts w:ascii="Times New Roman" w:hAnsi="Times New Roman" w:cs="Times New Roman"/>
          <w:sz w:val="28"/>
          <w:szCs w:val="28"/>
        </w:rPr>
        <w:t>Дата: «10» февраля 2026 г.</w:t>
      </w:r>
    </w:p>
    <w:p w:rsidR="00BD59CA" w:rsidRPr="00834676" w:rsidRDefault="00BD59CA" w:rsidP="00E659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D59CA" w:rsidRPr="00834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E0D4F"/>
    <w:multiLevelType w:val="multilevel"/>
    <w:tmpl w:val="645CA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E14EF"/>
    <w:multiLevelType w:val="multilevel"/>
    <w:tmpl w:val="91DAC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9C4D1F"/>
    <w:multiLevelType w:val="multilevel"/>
    <w:tmpl w:val="CD96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E137DF"/>
    <w:multiLevelType w:val="multilevel"/>
    <w:tmpl w:val="2D709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D11691"/>
    <w:multiLevelType w:val="multilevel"/>
    <w:tmpl w:val="B61C0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97300E"/>
    <w:multiLevelType w:val="multilevel"/>
    <w:tmpl w:val="7DEAF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377B9"/>
    <w:multiLevelType w:val="multilevel"/>
    <w:tmpl w:val="8188A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676"/>
    <w:rsid w:val="00136DB3"/>
    <w:rsid w:val="00381923"/>
    <w:rsid w:val="00740F27"/>
    <w:rsid w:val="00834676"/>
    <w:rsid w:val="00BD59CA"/>
    <w:rsid w:val="00E6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F9D4E"/>
  <w15:chartTrackingRefBased/>
  <w15:docId w15:val="{6D7C6D5B-41AE-40D2-9225-B645576D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0F27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E65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E659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7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7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5EC08-977C-4607-834B-BEB0F8CDB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2026-02-11T06:24:00Z</cp:lastPrinted>
  <dcterms:created xsi:type="dcterms:W3CDTF">2025-10-29T06:46:00Z</dcterms:created>
  <dcterms:modified xsi:type="dcterms:W3CDTF">2026-02-11T06:24:00Z</dcterms:modified>
</cp:coreProperties>
</file>